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1E0E" w:rsidRPr="00881E0E" w:rsidRDefault="00881E0E" w:rsidP="00881E0E">
      <w:pPr>
        <w:rPr>
          <w:color w:val="0070C0"/>
          <w:sz w:val="24"/>
          <w:szCs w:val="24"/>
        </w:rPr>
      </w:pPr>
      <w:r w:rsidRPr="00881E0E">
        <w:rPr>
          <w:b/>
          <w:bCs/>
          <w:color w:val="0070C0"/>
          <w:sz w:val="24"/>
          <w:szCs w:val="24"/>
          <w:u w:val="single"/>
        </w:rPr>
        <w:t>International Baccalaureate</w:t>
      </w:r>
      <w:bookmarkStart w:id="0" w:name="_GoBack"/>
      <w:bookmarkEnd w:id="0"/>
      <w:r w:rsidRPr="00881E0E">
        <w:rPr>
          <w:b/>
          <w:bCs/>
          <w:color w:val="0070C0"/>
          <w:sz w:val="24"/>
          <w:szCs w:val="24"/>
          <w:u w:val="single"/>
        </w:rPr>
        <w:t xml:space="preserve"> (IB) Fees</w:t>
      </w:r>
    </w:p>
    <w:p w:rsidR="00881E0E" w:rsidRPr="00881E0E" w:rsidRDefault="00881E0E" w:rsidP="00881E0E">
      <w:pPr>
        <w:rPr>
          <w:color w:val="000000" w:themeColor="text1"/>
          <w:sz w:val="24"/>
          <w:szCs w:val="24"/>
        </w:rPr>
      </w:pPr>
      <w:r w:rsidRPr="00881E0E">
        <w:rPr>
          <w:color w:val="000000" w:themeColor="text1"/>
          <w:sz w:val="24"/>
          <w:szCs w:val="24"/>
        </w:rPr>
        <w:t> </w:t>
      </w:r>
    </w:p>
    <w:p w:rsidR="00881E0E" w:rsidRPr="00881E0E" w:rsidRDefault="00881E0E" w:rsidP="00881E0E">
      <w:pPr>
        <w:rPr>
          <w:color w:val="000000" w:themeColor="text1"/>
          <w:sz w:val="24"/>
          <w:szCs w:val="24"/>
        </w:rPr>
      </w:pPr>
      <w:r w:rsidRPr="00881E0E">
        <w:rPr>
          <w:color w:val="000000" w:themeColor="text1"/>
          <w:sz w:val="24"/>
          <w:szCs w:val="24"/>
        </w:rPr>
        <w:t xml:space="preserve">The International Baccalaureate Programme, being a program of choice, charges students additional fees over and above regular program HWW school fees in Grade 11 and 12.   HWW collects these fees and submits them to IB directly on behalf of all IB students.  The fees for assessments and exams are collected in both Grade 11 and 12 depending on the students’ registration in IB courses.  Families will be invoiced for IB fees when they register in August for the 2017/18 school year.  Being a program of choice, there is </w:t>
      </w:r>
      <w:r w:rsidRPr="00881E0E">
        <w:rPr>
          <w:color w:val="000000" w:themeColor="text1"/>
          <w:sz w:val="24"/>
          <w:szCs w:val="24"/>
          <w:u w:val="single"/>
        </w:rPr>
        <w:t>no wavering of fees</w:t>
      </w:r>
      <w:r w:rsidRPr="00881E0E">
        <w:rPr>
          <w:color w:val="000000" w:themeColor="text1"/>
          <w:sz w:val="24"/>
          <w:szCs w:val="24"/>
        </w:rPr>
        <w:t xml:space="preserve"> that would apply to these IB costs.  Please note, once a student is registered into an IB course, it is a commitment that they will complete the external and internal assessments that are a component of the programme over the duration of the semester. </w:t>
      </w:r>
    </w:p>
    <w:p w:rsidR="00881E0E" w:rsidRPr="00881E0E" w:rsidRDefault="00881E0E" w:rsidP="00881E0E">
      <w:pPr>
        <w:rPr>
          <w:color w:val="000000" w:themeColor="text1"/>
          <w:sz w:val="24"/>
          <w:szCs w:val="24"/>
        </w:rPr>
      </w:pPr>
    </w:p>
    <w:p w:rsidR="00881E0E" w:rsidRPr="00881E0E" w:rsidRDefault="00881E0E" w:rsidP="00881E0E">
      <w:pPr>
        <w:spacing w:before="120" w:after="120"/>
        <w:textAlignment w:val="top"/>
        <w:rPr>
          <w:color w:val="000000" w:themeColor="text1"/>
          <w:sz w:val="24"/>
          <w:szCs w:val="24"/>
          <w:lang w:val="en" w:eastAsia="en-CA"/>
        </w:rPr>
      </w:pPr>
      <w:r w:rsidRPr="00881E0E">
        <w:rPr>
          <w:color w:val="000000" w:themeColor="text1"/>
          <w:sz w:val="24"/>
          <w:szCs w:val="24"/>
          <w:lang w:val="en" w:eastAsia="en-CA"/>
        </w:rPr>
        <w:t>Students receive the following services</w:t>
      </w:r>
      <w:r w:rsidRPr="00881E0E">
        <w:rPr>
          <w:color w:val="1F497D" w:themeColor="dark2"/>
          <w:sz w:val="24"/>
          <w:szCs w:val="24"/>
          <w:lang w:val="en" w:eastAsia="en-CA"/>
        </w:rPr>
        <w:t xml:space="preserve"> </w:t>
      </w:r>
      <w:r w:rsidRPr="00881E0E">
        <w:rPr>
          <w:color w:val="000000" w:themeColor="text1"/>
          <w:sz w:val="24"/>
          <w:szCs w:val="24"/>
          <w:lang w:val="en" w:eastAsia="en-CA"/>
        </w:rPr>
        <w:t>from IB:</w:t>
      </w:r>
    </w:p>
    <w:p w:rsidR="00881E0E" w:rsidRPr="00881E0E" w:rsidRDefault="00881E0E" w:rsidP="00881E0E">
      <w:pPr>
        <w:numPr>
          <w:ilvl w:val="0"/>
          <w:numId w:val="1"/>
        </w:numPr>
        <w:spacing w:before="100" w:beforeAutospacing="1" w:after="100" w:afterAutospacing="1"/>
        <w:textAlignment w:val="top"/>
        <w:rPr>
          <w:rFonts w:eastAsia="Times New Roman"/>
          <w:color w:val="000000" w:themeColor="text1"/>
          <w:sz w:val="24"/>
          <w:szCs w:val="24"/>
          <w:lang w:val="en" w:eastAsia="en-CA"/>
        </w:rPr>
      </w:pPr>
      <w:r w:rsidRPr="00881E0E">
        <w:rPr>
          <w:rFonts w:eastAsia="Times New Roman"/>
          <w:color w:val="000000" w:themeColor="text1"/>
          <w:sz w:val="24"/>
          <w:szCs w:val="24"/>
          <w:lang w:val="en" w:eastAsia="en-CA"/>
        </w:rPr>
        <w:t>Comprehensive assessment using a wide range of assessment methods including moderated internal assessment and externally marked examinations</w:t>
      </w:r>
    </w:p>
    <w:p w:rsidR="00881E0E" w:rsidRPr="00881E0E" w:rsidRDefault="00881E0E" w:rsidP="00881E0E">
      <w:pPr>
        <w:numPr>
          <w:ilvl w:val="0"/>
          <w:numId w:val="1"/>
        </w:numPr>
        <w:spacing w:before="100" w:beforeAutospacing="1" w:after="100" w:afterAutospacing="1"/>
        <w:textAlignment w:val="top"/>
        <w:rPr>
          <w:rFonts w:eastAsia="Times New Roman"/>
          <w:color w:val="000000" w:themeColor="text1"/>
          <w:sz w:val="24"/>
          <w:szCs w:val="24"/>
          <w:lang w:val="en" w:eastAsia="en-CA"/>
        </w:rPr>
      </w:pPr>
      <w:r w:rsidRPr="00881E0E">
        <w:rPr>
          <w:rFonts w:eastAsia="Times New Roman"/>
          <w:color w:val="000000" w:themeColor="text1"/>
          <w:sz w:val="24"/>
          <w:szCs w:val="24"/>
          <w:lang w:val="en" w:eastAsia="en-CA"/>
        </w:rPr>
        <w:t>Assessment by an international team of examiners and moderators, overseen by independent chief examiners</w:t>
      </w:r>
    </w:p>
    <w:p w:rsidR="00881E0E" w:rsidRPr="00881E0E" w:rsidRDefault="00881E0E" w:rsidP="00881E0E">
      <w:pPr>
        <w:numPr>
          <w:ilvl w:val="0"/>
          <w:numId w:val="1"/>
        </w:numPr>
        <w:spacing w:before="100" w:beforeAutospacing="1" w:after="100" w:afterAutospacing="1"/>
        <w:textAlignment w:val="top"/>
        <w:rPr>
          <w:rFonts w:eastAsia="Times New Roman"/>
          <w:color w:val="000000" w:themeColor="text1"/>
          <w:sz w:val="24"/>
          <w:szCs w:val="24"/>
          <w:lang w:val="en" w:eastAsia="en-CA"/>
        </w:rPr>
      </w:pPr>
      <w:r w:rsidRPr="00881E0E">
        <w:rPr>
          <w:rFonts w:eastAsia="Times New Roman"/>
          <w:color w:val="000000" w:themeColor="text1"/>
          <w:sz w:val="24"/>
          <w:szCs w:val="24"/>
          <w:lang w:val="en" w:eastAsia="en-CA"/>
        </w:rPr>
        <w:t>Clerical checking of assessment material to ensure administrative accuracy</w:t>
      </w:r>
    </w:p>
    <w:p w:rsidR="00881E0E" w:rsidRPr="00881E0E" w:rsidRDefault="00881E0E" w:rsidP="00881E0E">
      <w:pPr>
        <w:numPr>
          <w:ilvl w:val="0"/>
          <w:numId w:val="1"/>
        </w:numPr>
        <w:spacing w:before="100" w:beforeAutospacing="1" w:after="100" w:afterAutospacing="1"/>
        <w:textAlignment w:val="top"/>
        <w:rPr>
          <w:rFonts w:eastAsia="Times New Roman"/>
          <w:color w:val="000000" w:themeColor="text1"/>
          <w:sz w:val="24"/>
          <w:szCs w:val="24"/>
          <w:lang w:val="en" w:eastAsia="en-CA"/>
        </w:rPr>
      </w:pPr>
      <w:r w:rsidRPr="00881E0E">
        <w:rPr>
          <w:rFonts w:eastAsia="Times New Roman"/>
          <w:color w:val="000000" w:themeColor="text1"/>
          <w:sz w:val="24"/>
          <w:szCs w:val="24"/>
          <w:lang w:val="en" w:eastAsia="en-CA"/>
        </w:rPr>
        <w:t>Where appropriate, access arrangements and consideration of individual special circumstances</w:t>
      </w:r>
    </w:p>
    <w:p w:rsidR="00881E0E" w:rsidRPr="00881E0E" w:rsidRDefault="00881E0E" w:rsidP="00881E0E">
      <w:pPr>
        <w:numPr>
          <w:ilvl w:val="0"/>
          <w:numId w:val="1"/>
        </w:numPr>
        <w:spacing w:before="100" w:beforeAutospacing="1" w:after="100" w:afterAutospacing="1"/>
        <w:textAlignment w:val="top"/>
        <w:rPr>
          <w:rFonts w:eastAsia="Times New Roman"/>
          <w:color w:val="000000" w:themeColor="text1"/>
          <w:sz w:val="24"/>
          <w:szCs w:val="24"/>
          <w:lang w:val="en" w:eastAsia="en-CA"/>
        </w:rPr>
      </w:pPr>
      <w:r w:rsidRPr="00881E0E">
        <w:rPr>
          <w:rFonts w:eastAsia="Times New Roman"/>
          <w:color w:val="000000" w:themeColor="text1"/>
          <w:sz w:val="24"/>
          <w:szCs w:val="24"/>
          <w:lang w:val="en" w:eastAsia="en-CA"/>
        </w:rPr>
        <w:t>Access to results one day after results are released to schools</w:t>
      </w:r>
    </w:p>
    <w:p w:rsidR="00881E0E" w:rsidRPr="00881E0E" w:rsidRDefault="00881E0E" w:rsidP="00881E0E">
      <w:pPr>
        <w:numPr>
          <w:ilvl w:val="0"/>
          <w:numId w:val="1"/>
        </w:numPr>
        <w:spacing w:before="100" w:beforeAutospacing="1" w:after="100" w:afterAutospacing="1"/>
        <w:textAlignment w:val="top"/>
        <w:rPr>
          <w:rFonts w:eastAsia="Times New Roman"/>
          <w:color w:val="000000" w:themeColor="text1"/>
          <w:sz w:val="24"/>
          <w:szCs w:val="24"/>
          <w:lang w:val="en" w:eastAsia="en-CA"/>
        </w:rPr>
      </w:pPr>
      <w:r w:rsidRPr="00881E0E">
        <w:rPr>
          <w:rFonts w:eastAsia="Times New Roman"/>
          <w:color w:val="000000" w:themeColor="text1"/>
          <w:sz w:val="24"/>
          <w:szCs w:val="24"/>
          <w:lang w:val="en" w:eastAsia="en-CA"/>
        </w:rPr>
        <w:t>A printed diploma, diploma results or certificate (depending on their results)</w:t>
      </w:r>
    </w:p>
    <w:p w:rsidR="00881E0E" w:rsidRPr="00881E0E" w:rsidRDefault="00881E0E" w:rsidP="00881E0E">
      <w:pPr>
        <w:numPr>
          <w:ilvl w:val="0"/>
          <w:numId w:val="1"/>
        </w:numPr>
        <w:spacing w:before="100" w:beforeAutospacing="1" w:after="100" w:afterAutospacing="1"/>
        <w:textAlignment w:val="top"/>
        <w:rPr>
          <w:rFonts w:eastAsia="Times New Roman"/>
          <w:color w:val="000000" w:themeColor="text1"/>
          <w:sz w:val="24"/>
          <w:szCs w:val="24"/>
          <w:lang w:val="en" w:eastAsia="en-CA"/>
        </w:rPr>
      </w:pPr>
      <w:r w:rsidRPr="00881E0E">
        <w:rPr>
          <w:rFonts w:eastAsia="Times New Roman"/>
          <w:color w:val="000000" w:themeColor="text1"/>
          <w:sz w:val="24"/>
          <w:szCs w:val="24"/>
          <w:lang w:val="en" w:eastAsia="en-CA"/>
        </w:rPr>
        <w:t>Transmission of results to universities worldwide, upon request</w:t>
      </w:r>
    </w:p>
    <w:p w:rsidR="00881E0E" w:rsidRPr="00881E0E" w:rsidRDefault="00881E0E" w:rsidP="00881E0E">
      <w:pPr>
        <w:rPr>
          <w:color w:val="000000" w:themeColor="text1"/>
          <w:sz w:val="24"/>
          <w:szCs w:val="24"/>
        </w:rPr>
      </w:pPr>
      <w:r w:rsidRPr="00881E0E">
        <w:rPr>
          <w:color w:val="000000" w:themeColor="text1"/>
          <w:sz w:val="24"/>
          <w:szCs w:val="24"/>
        </w:rPr>
        <w:t>Grade 11</w:t>
      </w:r>
    </w:p>
    <w:p w:rsidR="00881E0E" w:rsidRPr="00881E0E" w:rsidRDefault="00881E0E" w:rsidP="00881E0E">
      <w:pPr>
        <w:rPr>
          <w:color w:val="000000" w:themeColor="text1"/>
          <w:sz w:val="24"/>
          <w:szCs w:val="24"/>
        </w:rPr>
      </w:pPr>
      <w:r w:rsidRPr="00881E0E">
        <w:rPr>
          <w:color w:val="000000" w:themeColor="text1"/>
          <w:sz w:val="24"/>
          <w:szCs w:val="24"/>
        </w:rPr>
        <w:t> </w:t>
      </w:r>
    </w:p>
    <w:p w:rsidR="00881E0E" w:rsidRPr="00881E0E" w:rsidRDefault="00881E0E" w:rsidP="00881E0E">
      <w:pPr>
        <w:pStyle w:val="ListParagraph"/>
        <w:numPr>
          <w:ilvl w:val="0"/>
          <w:numId w:val="2"/>
        </w:numPr>
        <w:rPr>
          <w:color w:val="000000" w:themeColor="text1"/>
          <w:sz w:val="24"/>
          <w:szCs w:val="24"/>
        </w:rPr>
      </w:pPr>
      <w:r w:rsidRPr="00881E0E">
        <w:rPr>
          <w:color w:val="000000" w:themeColor="text1"/>
          <w:sz w:val="24"/>
          <w:szCs w:val="24"/>
        </w:rPr>
        <w:t xml:space="preserve">Biology SL, Math SL, Philosophy SL (if taken in Grade 11) </w:t>
      </w:r>
    </w:p>
    <w:p w:rsidR="00881E0E" w:rsidRPr="00881E0E" w:rsidRDefault="00881E0E" w:rsidP="00881E0E">
      <w:pPr>
        <w:rPr>
          <w:color w:val="000000" w:themeColor="text1"/>
          <w:sz w:val="24"/>
          <w:szCs w:val="24"/>
        </w:rPr>
      </w:pPr>
      <w:r w:rsidRPr="00881E0E">
        <w:rPr>
          <w:color w:val="000000" w:themeColor="text1"/>
          <w:sz w:val="24"/>
          <w:szCs w:val="24"/>
        </w:rPr>
        <w:t> </w:t>
      </w:r>
    </w:p>
    <w:p w:rsidR="00881E0E" w:rsidRPr="00881E0E" w:rsidRDefault="00881E0E" w:rsidP="00881E0E">
      <w:pPr>
        <w:rPr>
          <w:color w:val="000000" w:themeColor="text1"/>
          <w:sz w:val="24"/>
          <w:szCs w:val="24"/>
        </w:rPr>
      </w:pPr>
      <w:r w:rsidRPr="00881E0E">
        <w:rPr>
          <w:color w:val="000000" w:themeColor="text1"/>
          <w:sz w:val="24"/>
          <w:szCs w:val="24"/>
        </w:rPr>
        <w:t xml:space="preserve">Grade 12 </w:t>
      </w:r>
    </w:p>
    <w:p w:rsidR="00881E0E" w:rsidRPr="00881E0E" w:rsidRDefault="00881E0E" w:rsidP="00881E0E">
      <w:pPr>
        <w:rPr>
          <w:color w:val="000000" w:themeColor="text1"/>
          <w:sz w:val="24"/>
          <w:szCs w:val="24"/>
        </w:rPr>
      </w:pPr>
      <w:r w:rsidRPr="00881E0E">
        <w:rPr>
          <w:color w:val="000000" w:themeColor="text1"/>
          <w:sz w:val="24"/>
          <w:szCs w:val="24"/>
        </w:rPr>
        <w:t> </w:t>
      </w:r>
    </w:p>
    <w:p w:rsidR="00881E0E" w:rsidRPr="00881E0E" w:rsidRDefault="00881E0E" w:rsidP="00881E0E">
      <w:pPr>
        <w:pStyle w:val="ListParagraph"/>
        <w:numPr>
          <w:ilvl w:val="0"/>
          <w:numId w:val="3"/>
        </w:numPr>
        <w:rPr>
          <w:color w:val="000000" w:themeColor="text1"/>
          <w:sz w:val="24"/>
          <w:szCs w:val="24"/>
        </w:rPr>
      </w:pPr>
      <w:r w:rsidRPr="00881E0E">
        <w:rPr>
          <w:color w:val="000000" w:themeColor="text1"/>
          <w:sz w:val="24"/>
          <w:szCs w:val="24"/>
        </w:rPr>
        <w:t xml:space="preserve">English SL/HL, History SL, Physics HL, Chemistry HL, Math HL, French Ab Initio SL, Spanish Ab Initio SL, Visual Arts SL/HL, Film SL, </w:t>
      </w:r>
      <w:proofErr w:type="gramStart"/>
      <w:r w:rsidRPr="00881E0E">
        <w:rPr>
          <w:color w:val="000000" w:themeColor="text1"/>
          <w:sz w:val="24"/>
          <w:szCs w:val="24"/>
        </w:rPr>
        <w:t>Philosophy</w:t>
      </w:r>
      <w:proofErr w:type="gramEnd"/>
      <w:r w:rsidRPr="00881E0E">
        <w:rPr>
          <w:color w:val="000000" w:themeColor="text1"/>
          <w:sz w:val="24"/>
          <w:szCs w:val="24"/>
        </w:rPr>
        <w:t xml:space="preserve"> SL (if taken in grade 12).</w:t>
      </w:r>
    </w:p>
    <w:p w:rsidR="00881E0E" w:rsidRPr="00881E0E" w:rsidRDefault="00881E0E" w:rsidP="00881E0E">
      <w:pPr>
        <w:rPr>
          <w:color w:val="000000" w:themeColor="text1"/>
          <w:sz w:val="24"/>
          <w:szCs w:val="24"/>
        </w:rPr>
      </w:pPr>
      <w:r w:rsidRPr="00881E0E">
        <w:rPr>
          <w:color w:val="000000" w:themeColor="text1"/>
          <w:sz w:val="24"/>
          <w:szCs w:val="24"/>
        </w:rPr>
        <w:t> </w:t>
      </w:r>
    </w:p>
    <w:p w:rsidR="00881E0E" w:rsidRPr="00881E0E" w:rsidRDefault="00881E0E" w:rsidP="00881E0E">
      <w:pPr>
        <w:rPr>
          <w:color w:val="000000" w:themeColor="text1"/>
          <w:sz w:val="24"/>
          <w:szCs w:val="24"/>
        </w:rPr>
      </w:pPr>
      <w:r w:rsidRPr="00881E0E">
        <w:rPr>
          <w:color w:val="000000" w:themeColor="text1"/>
          <w:sz w:val="24"/>
          <w:szCs w:val="24"/>
        </w:rPr>
        <w:t xml:space="preserve">Below </w:t>
      </w:r>
      <w:proofErr w:type="gramStart"/>
      <w:r w:rsidRPr="00881E0E">
        <w:rPr>
          <w:color w:val="000000" w:themeColor="text1"/>
          <w:sz w:val="24"/>
          <w:szCs w:val="24"/>
        </w:rPr>
        <w:t>are</w:t>
      </w:r>
      <w:proofErr w:type="gramEnd"/>
      <w:r w:rsidRPr="00881E0E">
        <w:rPr>
          <w:color w:val="000000" w:themeColor="text1"/>
          <w:sz w:val="24"/>
          <w:szCs w:val="24"/>
        </w:rPr>
        <w:t xml:space="preserve"> the 2017/18 fees for IB Exams/Assessments:</w:t>
      </w:r>
    </w:p>
    <w:p w:rsidR="00881E0E" w:rsidRPr="00881E0E" w:rsidRDefault="00881E0E" w:rsidP="00881E0E">
      <w:pPr>
        <w:rPr>
          <w:color w:val="000000" w:themeColor="text1"/>
          <w:sz w:val="24"/>
          <w:szCs w:val="24"/>
        </w:rPr>
      </w:pPr>
      <w:r w:rsidRPr="00881E0E">
        <w:rPr>
          <w:color w:val="000000" w:themeColor="text1"/>
          <w:sz w:val="24"/>
          <w:szCs w:val="24"/>
        </w:rPr>
        <w:t> </w:t>
      </w:r>
    </w:p>
    <w:p w:rsidR="00881E0E" w:rsidRPr="00881E0E" w:rsidRDefault="00881E0E" w:rsidP="00881E0E">
      <w:pPr>
        <w:pStyle w:val="ListParagraph"/>
        <w:numPr>
          <w:ilvl w:val="0"/>
          <w:numId w:val="4"/>
        </w:numPr>
        <w:rPr>
          <w:color w:val="000000" w:themeColor="text1"/>
          <w:sz w:val="24"/>
          <w:szCs w:val="24"/>
        </w:rPr>
      </w:pPr>
      <w:r w:rsidRPr="00881E0E">
        <w:rPr>
          <w:color w:val="000000" w:themeColor="text1"/>
          <w:sz w:val="24"/>
          <w:szCs w:val="24"/>
        </w:rPr>
        <w:t>IB Registration Fee - $250*</w:t>
      </w:r>
    </w:p>
    <w:p w:rsidR="00881E0E" w:rsidRPr="00881E0E" w:rsidRDefault="00881E0E" w:rsidP="00881E0E">
      <w:pPr>
        <w:pStyle w:val="ListParagraph"/>
        <w:numPr>
          <w:ilvl w:val="0"/>
          <w:numId w:val="4"/>
        </w:numPr>
        <w:rPr>
          <w:color w:val="000000" w:themeColor="text1"/>
          <w:sz w:val="24"/>
          <w:szCs w:val="24"/>
        </w:rPr>
      </w:pPr>
      <w:r w:rsidRPr="00881E0E">
        <w:rPr>
          <w:color w:val="000000" w:themeColor="text1"/>
          <w:sz w:val="24"/>
          <w:szCs w:val="24"/>
        </w:rPr>
        <w:t>IB Course Fee (per course) - $200</w:t>
      </w:r>
    </w:p>
    <w:p w:rsidR="00881E0E" w:rsidRPr="00881E0E" w:rsidRDefault="00881E0E" w:rsidP="00881E0E">
      <w:pPr>
        <w:pStyle w:val="ListParagraph"/>
        <w:numPr>
          <w:ilvl w:val="0"/>
          <w:numId w:val="4"/>
        </w:numPr>
        <w:rPr>
          <w:color w:val="000000" w:themeColor="text1"/>
          <w:sz w:val="24"/>
          <w:szCs w:val="24"/>
        </w:rPr>
      </w:pPr>
      <w:r w:rsidRPr="00881E0E">
        <w:rPr>
          <w:color w:val="000000" w:themeColor="text1"/>
          <w:sz w:val="24"/>
          <w:szCs w:val="24"/>
        </w:rPr>
        <w:t>Courier Fee - $25</w:t>
      </w:r>
    </w:p>
    <w:p w:rsidR="00881E0E" w:rsidRPr="00881E0E" w:rsidRDefault="00881E0E" w:rsidP="00881E0E">
      <w:pPr>
        <w:rPr>
          <w:color w:val="000000" w:themeColor="text1"/>
          <w:sz w:val="24"/>
          <w:szCs w:val="24"/>
        </w:rPr>
      </w:pPr>
      <w:r w:rsidRPr="00881E0E">
        <w:rPr>
          <w:color w:val="000000" w:themeColor="text1"/>
          <w:sz w:val="24"/>
          <w:szCs w:val="24"/>
        </w:rPr>
        <w:t> </w:t>
      </w:r>
    </w:p>
    <w:p w:rsidR="00881E0E" w:rsidRPr="00881E0E" w:rsidRDefault="00881E0E" w:rsidP="00881E0E">
      <w:pPr>
        <w:rPr>
          <w:color w:val="000000" w:themeColor="text1"/>
          <w:sz w:val="24"/>
          <w:szCs w:val="24"/>
        </w:rPr>
      </w:pPr>
      <w:r w:rsidRPr="00881E0E">
        <w:rPr>
          <w:i/>
          <w:iCs/>
          <w:color w:val="000000" w:themeColor="text1"/>
          <w:sz w:val="24"/>
          <w:szCs w:val="24"/>
        </w:rPr>
        <w:t xml:space="preserve">*IB Diploma Students (full IB) pay the IB Registration Fee only once, however, IB Course Students (partial IB) would be charged </w:t>
      </w:r>
      <w:proofErr w:type="gramStart"/>
      <w:r w:rsidRPr="00881E0E">
        <w:rPr>
          <w:i/>
          <w:iCs/>
          <w:color w:val="000000" w:themeColor="text1"/>
          <w:sz w:val="24"/>
          <w:szCs w:val="24"/>
        </w:rPr>
        <w:t>this both in grade 11 and 12</w:t>
      </w:r>
      <w:proofErr w:type="gramEnd"/>
      <w:r w:rsidRPr="00881E0E">
        <w:rPr>
          <w:i/>
          <w:iCs/>
          <w:color w:val="000000" w:themeColor="text1"/>
          <w:sz w:val="24"/>
          <w:szCs w:val="24"/>
        </w:rPr>
        <w:t xml:space="preserve"> if they had IB courses in both years.</w:t>
      </w:r>
    </w:p>
    <w:p w:rsidR="00753B31" w:rsidRDefault="00753B31"/>
    <w:sectPr w:rsidR="00753B31" w:rsidSect="00881E0E">
      <w:pgSz w:w="12240" w:h="15840"/>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9119B"/>
    <w:multiLevelType w:val="hybridMultilevel"/>
    <w:tmpl w:val="4530D07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
    <w:nsid w:val="2B0D533C"/>
    <w:multiLevelType w:val="multilevel"/>
    <w:tmpl w:val="DBAE5F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474C6EFD"/>
    <w:multiLevelType w:val="hybridMultilevel"/>
    <w:tmpl w:val="3AC4CA0C"/>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start w:val="1"/>
      <w:numFmt w:val="bullet"/>
      <w:lvlText w:val=""/>
      <w:lvlJc w:val="left"/>
      <w:pPr>
        <w:ind w:left="3240" w:hanging="360"/>
      </w:pPr>
      <w:rPr>
        <w:rFonts w:ascii="Symbol" w:hAnsi="Symbol" w:hint="default"/>
      </w:rPr>
    </w:lvl>
    <w:lvl w:ilvl="4" w:tplc="10090003">
      <w:start w:val="1"/>
      <w:numFmt w:val="bullet"/>
      <w:lvlText w:val="o"/>
      <w:lvlJc w:val="left"/>
      <w:pPr>
        <w:ind w:left="3960" w:hanging="360"/>
      </w:pPr>
      <w:rPr>
        <w:rFonts w:ascii="Courier New" w:hAnsi="Courier New" w:cs="Courier New" w:hint="default"/>
      </w:rPr>
    </w:lvl>
    <w:lvl w:ilvl="5" w:tplc="10090005">
      <w:start w:val="1"/>
      <w:numFmt w:val="bullet"/>
      <w:lvlText w:val=""/>
      <w:lvlJc w:val="left"/>
      <w:pPr>
        <w:ind w:left="4680" w:hanging="360"/>
      </w:pPr>
      <w:rPr>
        <w:rFonts w:ascii="Wingdings" w:hAnsi="Wingdings" w:hint="default"/>
      </w:rPr>
    </w:lvl>
    <w:lvl w:ilvl="6" w:tplc="10090001">
      <w:start w:val="1"/>
      <w:numFmt w:val="bullet"/>
      <w:lvlText w:val=""/>
      <w:lvlJc w:val="left"/>
      <w:pPr>
        <w:ind w:left="5400" w:hanging="360"/>
      </w:pPr>
      <w:rPr>
        <w:rFonts w:ascii="Symbol" w:hAnsi="Symbol" w:hint="default"/>
      </w:rPr>
    </w:lvl>
    <w:lvl w:ilvl="7" w:tplc="10090003">
      <w:start w:val="1"/>
      <w:numFmt w:val="bullet"/>
      <w:lvlText w:val="o"/>
      <w:lvlJc w:val="left"/>
      <w:pPr>
        <w:ind w:left="6120" w:hanging="360"/>
      </w:pPr>
      <w:rPr>
        <w:rFonts w:ascii="Courier New" w:hAnsi="Courier New" w:cs="Courier New" w:hint="default"/>
      </w:rPr>
    </w:lvl>
    <w:lvl w:ilvl="8" w:tplc="10090005">
      <w:start w:val="1"/>
      <w:numFmt w:val="bullet"/>
      <w:lvlText w:val=""/>
      <w:lvlJc w:val="left"/>
      <w:pPr>
        <w:ind w:left="6840" w:hanging="360"/>
      </w:pPr>
      <w:rPr>
        <w:rFonts w:ascii="Wingdings" w:hAnsi="Wingdings" w:hint="default"/>
      </w:rPr>
    </w:lvl>
  </w:abstractNum>
  <w:abstractNum w:abstractNumId="3">
    <w:nsid w:val="7CA92137"/>
    <w:multiLevelType w:val="hybridMultilevel"/>
    <w:tmpl w:val="0AF236D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3"/>
    <w:lvlOverride w:ilvl="0"/>
    <w:lvlOverride w:ilvl="1"/>
    <w:lvlOverride w:ilvl="2"/>
    <w:lvlOverride w:ilvl="3"/>
    <w:lvlOverride w:ilvl="4"/>
    <w:lvlOverride w:ilvl="5"/>
    <w:lvlOverride w:ilvl="6"/>
    <w:lvlOverride w:ilvl="7"/>
    <w:lvlOverride w:ilvl="8"/>
  </w:num>
  <w:num w:numId="3">
    <w:abstractNumId w:val="0"/>
    <w:lvlOverride w:ilvl="0"/>
    <w:lvlOverride w:ilvl="1"/>
    <w:lvlOverride w:ilvl="2"/>
    <w:lvlOverride w:ilvl="3"/>
    <w:lvlOverride w:ilvl="4"/>
    <w:lvlOverride w:ilvl="5"/>
    <w:lvlOverride w:ilvl="6"/>
    <w:lvlOverride w:ilvl="7"/>
    <w:lvlOverride w:ilvl="8"/>
  </w:num>
  <w:num w:numId="4">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E0E"/>
    <w:rsid w:val="00120D5C"/>
    <w:rsid w:val="00753B31"/>
    <w:rsid w:val="00881E0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1E0E"/>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1E0E"/>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1E0E"/>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1E0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9379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312</Words>
  <Characters>1783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Calgary Board of Education</Company>
  <LinksUpToDate>false</LinksUpToDate>
  <CharactersWithSpaces>2091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A Garen</dc:creator>
  <cp:lastModifiedBy>Scott A Garen</cp:lastModifiedBy>
  <cp:revision>1</cp:revision>
  <dcterms:created xsi:type="dcterms:W3CDTF">2017-05-16T23:29:00Z</dcterms:created>
  <dcterms:modified xsi:type="dcterms:W3CDTF">2017-05-16T23:31:00Z</dcterms:modified>
</cp:coreProperties>
</file>